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430E0" w14:textId="77777777" w:rsidR="00921658" w:rsidRPr="00BA79F2" w:rsidRDefault="00921658" w:rsidP="00921658">
      <w:pPr>
        <w:pStyle w:val="Body2"/>
        <w:jc w:val="right"/>
        <w:rPr>
          <w:lang w:val="lt-LT"/>
        </w:rPr>
      </w:pPr>
      <w:r>
        <w:rPr>
          <w:lang w:val="lt-LT"/>
        </w:rPr>
        <w:t xml:space="preserve">    </w:t>
      </w:r>
      <w:r w:rsidRPr="00BA79F2">
        <w:rPr>
          <w:lang w:val="lt-LT"/>
        </w:rPr>
        <w:t>Specialiųjų pirkimo sąlygų 4 prieda</w:t>
      </w:r>
      <w:r>
        <w:rPr>
          <w:lang w:val="lt-LT"/>
        </w:rPr>
        <w:t>s</w:t>
      </w:r>
      <w:r w:rsidRPr="00BA79F2">
        <w:rPr>
          <w:lang w:val="lt-LT"/>
        </w:rPr>
        <w:t xml:space="preserve"> „</w:t>
      </w:r>
      <w:r>
        <w:rPr>
          <w:lang w:val="lt-LT"/>
        </w:rPr>
        <w:t>Pašalinimo pagrindai</w:t>
      </w:r>
      <w:r w:rsidRPr="00BA79F2">
        <w:rPr>
          <w:lang w:val="lt-LT"/>
        </w:rPr>
        <w:t>“</w:t>
      </w:r>
    </w:p>
    <w:p w14:paraId="1FA3CAA8" w14:textId="77777777" w:rsidR="00921658" w:rsidRPr="00BA79F2" w:rsidRDefault="00921658" w:rsidP="00921658">
      <w:pPr>
        <w:pStyle w:val="Body2"/>
        <w:rPr>
          <w:b/>
          <w:bCs/>
          <w:lang w:val="lt-LT"/>
        </w:rPr>
      </w:pPr>
    </w:p>
    <w:p w14:paraId="69A25B3B" w14:textId="77777777" w:rsidR="00921658" w:rsidRDefault="00921658" w:rsidP="00921658">
      <w:pPr>
        <w:pStyle w:val="Body2"/>
        <w:jc w:val="center"/>
        <w:rPr>
          <w:b/>
          <w:bCs/>
          <w:lang w:val="lt-LT"/>
        </w:rPr>
      </w:pPr>
      <w:r w:rsidRPr="00BA79F2">
        <w:rPr>
          <w:b/>
          <w:bCs/>
          <w:lang w:val="lt-LT"/>
        </w:rPr>
        <w:t>4 PRIEDAS PAŠALINIMO PAGRINDAI</w:t>
      </w:r>
    </w:p>
    <w:p w14:paraId="044B7CCE" w14:textId="77777777" w:rsidR="00921658" w:rsidRDefault="00921658">
      <w:pPr>
        <w:rPr>
          <w:lang w:val="lt-LT"/>
        </w:rPr>
      </w:pPr>
    </w:p>
    <w:tbl>
      <w:tblPr>
        <w:tblW w:w="13045" w:type="dxa"/>
        <w:tblLayout w:type="fixed"/>
        <w:tblCellMar>
          <w:left w:w="10" w:type="dxa"/>
          <w:right w:w="10" w:type="dxa"/>
        </w:tblCellMar>
        <w:tblLook w:val="04A0" w:firstRow="1" w:lastRow="0" w:firstColumn="1" w:lastColumn="0" w:noHBand="0" w:noVBand="1"/>
      </w:tblPr>
      <w:tblGrid>
        <w:gridCol w:w="895"/>
        <w:gridCol w:w="4500"/>
        <w:gridCol w:w="4950"/>
        <w:gridCol w:w="2700"/>
      </w:tblGrid>
      <w:tr w:rsidR="00921658" w:rsidRPr="003B335B" w14:paraId="655CC85E" w14:textId="77777777" w:rsidTr="00921658">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7CB987" w14:textId="77777777" w:rsidR="00921658" w:rsidRPr="003B335B" w:rsidRDefault="00921658" w:rsidP="00AA33B2">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E64E14" w14:textId="77777777" w:rsidR="00921658" w:rsidRPr="003B335B" w:rsidRDefault="00921658" w:rsidP="00AA33B2">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4E2D88" w14:textId="77777777" w:rsidR="00921658" w:rsidRPr="003B335B" w:rsidRDefault="00921658" w:rsidP="00AA33B2">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59333" w14:textId="77777777" w:rsidR="00921658" w:rsidRPr="003B335B" w:rsidRDefault="00921658" w:rsidP="00AA33B2">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921658" w:rsidRPr="00921658" w14:paraId="39CFC899" w14:textId="77777777" w:rsidTr="00921658">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FAADF" w14:textId="77777777" w:rsidR="00921658" w:rsidRPr="003B335B" w:rsidRDefault="00921658" w:rsidP="00921658">
            <w:pPr>
              <w:pStyle w:val="NoSpacing"/>
              <w:numPr>
                <w:ilvl w:val="0"/>
                <w:numId w:val="2"/>
              </w:numPr>
              <w:rPr>
                <w:rFonts w:ascii="Times New Roman" w:hAnsi="Times New Roman" w:cs="Times New Roman"/>
                <w:sz w:val="22"/>
                <w:szCs w:val="22"/>
              </w:rPr>
            </w:pP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AF5FE" w14:textId="77777777" w:rsidR="00921658" w:rsidRPr="003B335B" w:rsidRDefault="00921658" w:rsidP="00AA33B2">
            <w:pPr>
              <w:pStyle w:val="NoSpacing"/>
              <w:jc w:val="both"/>
              <w:rPr>
                <w:rFonts w:ascii="Times New Roman" w:eastAsia="Yu Mincho" w:hAnsi="Times New Roman" w:cs="Times New Roman"/>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w:t>
            </w:r>
          </w:p>
          <w:p w14:paraId="5C4BE7F7" w14:textId="77777777" w:rsidR="00921658" w:rsidRPr="003B335B" w:rsidRDefault="00921658" w:rsidP="00AA33B2">
            <w:pPr>
              <w:pStyle w:val="NoSpacing"/>
              <w:jc w:val="both"/>
              <w:rPr>
                <w:rFonts w:ascii="Times New Roman" w:hAnsi="Times New Roman" w:cs="Times New Roman"/>
                <w:sz w:val="22"/>
                <w:szCs w:val="22"/>
                <w:lang w:eastAsia="en-US"/>
              </w:rPr>
            </w:pPr>
          </w:p>
          <w:p w14:paraId="670ECEA3"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3E1A303C"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0DB952A7"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9A496E1"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A3CF0C8"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6EEE0796"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3CA60B04"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4901664E"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55BE8D9C"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0A4B7A42" w14:textId="77777777" w:rsidR="00921658" w:rsidRPr="003B335B" w:rsidRDefault="00921658" w:rsidP="00AA33B2">
            <w:pPr>
              <w:pStyle w:val="NoSpacing"/>
              <w:jc w:val="both"/>
              <w:rPr>
                <w:rFonts w:ascii="Times New Roman" w:hAnsi="Times New Roman" w:cs="Times New Roman"/>
                <w:b/>
                <w:bCs/>
                <w:sz w:val="22"/>
                <w:szCs w:val="22"/>
                <w:lang w:eastAsia="en-US"/>
              </w:rPr>
            </w:pPr>
          </w:p>
          <w:p w14:paraId="0C9DEEA0"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21D82FE4" w14:textId="77777777" w:rsidR="00921658" w:rsidRPr="003B335B" w:rsidRDefault="00921658" w:rsidP="00AA33B2">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DB20767" w14:textId="77777777" w:rsidR="00921658" w:rsidRPr="003B335B" w:rsidRDefault="00921658" w:rsidP="00AA33B2">
            <w:pPr>
              <w:pStyle w:val="NoSpacing"/>
              <w:jc w:val="both"/>
              <w:rPr>
                <w:rFonts w:ascii="Times New Roman" w:hAnsi="Times New Roman" w:cs="Times New Roman"/>
                <w:sz w:val="22"/>
                <w:szCs w:val="22"/>
                <w:lang w:eastAsia="en-US"/>
              </w:rPr>
            </w:pPr>
            <w:r w:rsidRPr="000F7174">
              <w:rPr>
                <w:rFonts w:ascii="Times New Roman" w:hAnsi="Times New Roman" w:cs="Times New Roman"/>
                <w:sz w:val="22"/>
                <w:szCs w:val="22"/>
                <w:lang w:eastAsia="en-US"/>
              </w:rPr>
              <w:t xml:space="preserve">2) tiekėjo, kuris yra juridinis asmuo, kita organizacija ar jos </w:t>
            </w:r>
            <w:r>
              <w:rPr>
                <w:rFonts w:ascii="Times New Roman" w:hAnsi="Times New Roman" w:cs="Times New Roman"/>
                <w:sz w:val="22"/>
                <w:szCs w:val="22"/>
                <w:lang w:eastAsia="en-US"/>
              </w:rPr>
              <w:t xml:space="preserve">struktūrinis </w:t>
            </w:r>
            <w:r w:rsidRPr="000F7174">
              <w:rPr>
                <w:rFonts w:ascii="Times New Roman" w:hAnsi="Times New Roman" w:cs="Times New Roman"/>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1D308DC" w14:textId="77777777" w:rsidR="00921658" w:rsidRPr="003B335B" w:rsidRDefault="00921658" w:rsidP="00AA33B2">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8079EF1" w14:textId="77777777" w:rsidR="00921658" w:rsidRPr="003B335B" w:rsidRDefault="00921658" w:rsidP="00AA33B2">
            <w:pPr>
              <w:pStyle w:val="NoSpacing"/>
              <w:jc w:val="both"/>
              <w:rPr>
                <w:rFonts w:ascii="Times New Roman" w:hAnsi="Times New Roman" w:cs="Times New Roman"/>
                <w:bCs/>
                <w:sz w:val="22"/>
                <w:szCs w:val="22"/>
                <w:lang w:eastAsia="en-US"/>
              </w:rPr>
            </w:pPr>
          </w:p>
          <w:p w14:paraId="27692DD0" w14:textId="77777777" w:rsidR="00921658" w:rsidRPr="00CB216B" w:rsidRDefault="00921658" w:rsidP="00AA33B2">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090F4920" w14:textId="77777777" w:rsidR="00921658" w:rsidRDefault="00921658" w:rsidP="00AA33B2">
            <w:pPr>
              <w:pStyle w:val="NoSpacing"/>
              <w:jc w:val="both"/>
              <w:rPr>
                <w:rFonts w:ascii="Times New Roman" w:eastAsia="Yu Mincho" w:hAnsi="Times New Roman" w:cs="Times New Roman"/>
                <w:i/>
                <w:iCs/>
                <w:sz w:val="22"/>
                <w:szCs w:val="22"/>
                <w:lang w:eastAsia="en-US"/>
              </w:rPr>
            </w:pP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750BD2"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67533DCB"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7F769206"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02CCE4FF"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0979C502" w14:textId="77777777" w:rsidR="00921658" w:rsidRPr="003B335B" w:rsidRDefault="00921658" w:rsidP="00AA33B2">
            <w:pPr>
              <w:pStyle w:val="NoSpacing"/>
              <w:jc w:val="both"/>
              <w:rPr>
                <w:rFonts w:ascii="Times New Roman" w:hAnsi="Times New Roman" w:cs="Times New Roman"/>
                <w:sz w:val="22"/>
                <w:szCs w:val="22"/>
                <w:lang w:eastAsia="en-US"/>
              </w:rPr>
            </w:pPr>
          </w:p>
          <w:p w14:paraId="1F87A450"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1B75F94"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62DA8924" w14:textId="77777777" w:rsidR="00921658" w:rsidRPr="003B335B" w:rsidRDefault="00921658" w:rsidP="00AA33B2">
            <w:pPr>
              <w:pStyle w:val="NoSpacing"/>
              <w:jc w:val="both"/>
              <w:rPr>
                <w:rFonts w:ascii="Times New Roman" w:hAnsi="Times New Roman" w:cs="Times New Roman"/>
                <w:b/>
                <w:bCs/>
                <w:sz w:val="22"/>
                <w:szCs w:val="22"/>
              </w:rPr>
            </w:pPr>
          </w:p>
          <w:p w14:paraId="74CC2080" w14:textId="77777777" w:rsidR="00921658" w:rsidRPr="003B335B" w:rsidRDefault="00921658" w:rsidP="00AA33B2">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607BEBE" w14:textId="77777777" w:rsidR="00921658" w:rsidRPr="003B335B" w:rsidRDefault="00921658" w:rsidP="00921658">
            <w:pPr>
              <w:pStyle w:val="FootnoteText"/>
              <w:numPr>
                <w:ilvl w:val="0"/>
                <w:numId w:val="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22D5CC3" w14:textId="77777777" w:rsidR="00921658" w:rsidRPr="003B335B" w:rsidRDefault="00921658" w:rsidP="00921658">
            <w:pPr>
              <w:pStyle w:val="FootnoteText"/>
              <w:numPr>
                <w:ilvl w:val="0"/>
                <w:numId w:val="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w:t>
            </w:r>
            <w:r w:rsidRPr="003B335B">
              <w:rPr>
                <w:rFonts w:ascii="Times New Roman" w:eastAsia="Yu Mincho" w:hAnsi="Times New Roman" w:cs="Times New Roman"/>
                <w:sz w:val="22"/>
                <w:szCs w:val="22"/>
              </w:rPr>
              <w:lastRenderedPageBreak/>
              <w:t>kompetentingos profesinės ar prekybos organizacijos.</w:t>
            </w:r>
          </w:p>
          <w:p w14:paraId="214C613C" w14:textId="77777777" w:rsidR="00921658" w:rsidRPr="003B335B" w:rsidRDefault="00921658" w:rsidP="00AA33B2">
            <w:pPr>
              <w:pStyle w:val="NoSpacing"/>
              <w:jc w:val="both"/>
              <w:rPr>
                <w:rFonts w:ascii="Times New Roman" w:hAnsi="Times New Roman" w:cs="Times New Roman"/>
                <w:sz w:val="22"/>
                <w:szCs w:val="22"/>
              </w:rPr>
            </w:pPr>
          </w:p>
          <w:p w14:paraId="0A3AFDB7" w14:textId="77777777" w:rsidR="00921658" w:rsidRPr="003B335B" w:rsidRDefault="00921658" w:rsidP="00AA33B2">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14240177" w14:textId="77777777" w:rsidR="00921658" w:rsidRPr="003B335B" w:rsidRDefault="00921658" w:rsidP="00AA33B2">
            <w:pPr>
              <w:pStyle w:val="NoSpacing"/>
              <w:jc w:val="both"/>
              <w:rPr>
                <w:rFonts w:ascii="Times New Roman" w:hAnsi="Times New Roman" w:cs="Times New Roman"/>
                <w:b/>
                <w:bCs/>
                <w:sz w:val="22"/>
                <w:szCs w:val="22"/>
              </w:rPr>
            </w:pPr>
          </w:p>
          <w:p w14:paraId="4458FD9C" w14:textId="77777777" w:rsidR="00921658" w:rsidRDefault="00921658" w:rsidP="00AA33B2">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506192C" w14:textId="77777777" w:rsidR="00921658" w:rsidRDefault="00921658" w:rsidP="00AA33B2">
            <w:pPr>
              <w:pStyle w:val="NoSpacing"/>
              <w:jc w:val="both"/>
              <w:rPr>
                <w:rFonts w:ascii="Times New Roman" w:hAnsi="Times New Roman" w:cs="Times New Roman"/>
                <w:bCs/>
                <w:sz w:val="22"/>
                <w:szCs w:val="22"/>
              </w:rPr>
            </w:pPr>
          </w:p>
          <w:p w14:paraId="76007C1B" w14:textId="77777777" w:rsidR="00921658" w:rsidRPr="00A87BBF" w:rsidRDefault="00921658" w:rsidP="00AA33B2">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0BA610D2" w14:textId="77777777" w:rsidR="00921658" w:rsidRPr="003B335B" w:rsidRDefault="00921658" w:rsidP="00AA33B2">
            <w:pPr>
              <w:pStyle w:val="NoSpacing"/>
              <w:jc w:val="both"/>
              <w:rPr>
                <w:rFonts w:ascii="Times New Roman" w:hAnsi="Times New Roman" w:cs="Times New Roman"/>
                <w:sz w:val="22"/>
                <w:szCs w:val="22"/>
                <w:lang w:eastAsia="en-US"/>
              </w:rPr>
            </w:pP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00940" w14:textId="77777777" w:rsidR="00921658" w:rsidRPr="003B335B" w:rsidRDefault="00921658" w:rsidP="00AA33B2">
            <w:pPr>
              <w:pStyle w:val="FootnoteText"/>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921658" w:rsidRPr="00921658" w14:paraId="5B71CC9A" w14:textId="77777777" w:rsidTr="00921658">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F623B" w14:textId="77777777" w:rsidR="00921658" w:rsidRPr="003B335B" w:rsidRDefault="00921658" w:rsidP="00921658">
            <w:pPr>
              <w:pStyle w:val="NoSpacing"/>
              <w:numPr>
                <w:ilvl w:val="0"/>
                <w:numId w:val="2"/>
              </w:numPr>
              <w:rPr>
                <w:rFonts w:ascii="Times New Roman" w:hAnsi="Times New Roman" w:cs="Times New Roman"/>
                <w:sz w:val="22"/>
                <w:szCs w:val="22"/>
              </w:rPr>
            </w:pP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786AAB" w14:textId="77777777" w:rsidR="00921658" w:rsidRPr="00CA3FD2" w:rsidRDefault="00921658" w:rsidP="00AA33B2">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71A0F810" w14:textId="77777777" w:rsidR="00921658" w:rsidRPr="008054D0" w:rsidRDefault="00921658" w:rsidP="00AA33B2">
            <w:pPr>
              <w:pStyle w:val="NoSpacing"/>
              <w:jc w:val="both"/>
              <w:rPr>
                <w:rFonts w:ascii="Times New Roman" w:eastAsia="Yu Mincho" w:hAnsi="Times New Roman" w:cs="Times New Roman"/>
                <w:color w:val="FF0000"/>
                <w:sz w:val="22"/>
                <w:szCs w:val="22"/>
                <w:lang w:eastAsia="en-US"/>
              </w:rPr>
            </w:pPr>
            <w:r w:rsidRPr="00CA3FD2">
              <w:rPr>
                <w:rFonts w:ascii="Times New Roman" w:eastAsia="Yu Mincho" w:hAnsi="Times New Roman" w:cs="Times New Roman"/>
                <w:sz w:val="22"/>
                <w:szCs w:val="22"/>
                <w:lang w:eastAsia="en-US"/>
              </w:rPr>
              <w:t>Tiekėjas yra neatlikęs jam paskirtos baudžiamojo poveikio priemonės – uždraudimo juridiniam asmeniui dalyvauti viešuosiuose pirkimuose.</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5964C4" w14:textId="77777777" w:rsidR="00921658" w:rsidRPr="003B335B" w:rsidRDefault="00921658" w:rsidP="00AA33B2">
            <w:pPr>
              <w:pStyle w:val="NoSpacing"/>
              <w:jc w:val="both"/>
              <w:rPr>
                <w:rFonts w:ascii="Times New Roman" w:hAnsi="Times New Roman" w:cs="Times New Roman"/>
                <w:sz w:val="22"/>
                <w:szCs w:val="22"/>
                <w:lang w:eastAsia="en-US"/>
              </w:rPr>
            </w:pPr>
            <w:r w:rsidRPr="00B176F7">
              <w:rPr>
                <w:rFonts w:ascii="Times New Roman" w:hAnsi="Times New Roman" w:cs="Times New Roman"/>
                <w:sz w:val="22"/>
                <w:szCs w:val="22"/>
                <w:lang w:eastAsia="en-US"/>
              </w:rPr>
              <w:t>Iš Lietuvoje įsteigtų subjektų įrodančių dokumentų nereikalaujama. Užtenka pateikto EBVPD.</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B7CDB" w14:textId="77777777" w:rsidR="00921658" w:rsidRPr="003B335B" w:rsidRDefault="00921658" w:rsidP="00AA33B2">
            <w:pPr>
              <w:pStyle w:val="FootnoteText"/>
              <w:jc w:val="both"/>
              <w:rPr>
                <w:rFonts w:ascii="Times New Roman" w:eastAsia="Yu Mincho" w:hAnsi="Times New Roman" w:cs="Times New Roman"/>
                <w:sz w:val="22"/>
                <w:szCs w:val="22"/>
              </w:rPr>
            </w:pPr>
            <w:r w:rsidRPr="00B176F7">
              <w:rPr>
                <w:rFonts w:ascii="Times New Roman" w:eastAsia="Yu Mincho" w:hAnsi="Times New Roman" w:cs="Times New Roman"/>
                <w:sz w:val="22"/>
                <w:szCs w:val="22"/>
              </w:rPr>
              <w:t>Tiekėjas, kiekvienas tiekėjų grupės narys ir kiekvienas kitas ūkio subjektas, kurio pajėgumais remiasi tiekėjas.</w:t>
            </w:r>
          </w:p>
        </w:tc>
      </w:tr>
      <w:tr w:rsidR="00921658" w:rsidRPr="00921658" w14:paraId="7B33F1E1" w14:textId="77777777" w:rsidTr="00921658">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C31121" w14:textId="77777777" w:rsidR="00921658" w:rsidRPr="003B335B" w:rsidRDefault="00921658" w:rsidP="00921658">
            <w:pPr>
              <w:pStyle w:val="NoSpacing"/>
              <w:numPr>
                <w:ilvl w:val="0"/>
                <w:numId w:val="2"/>
              </w:numPr>
              <w:rPr>
                <w:rFonts w:ascii="Times New Roman" w:hAnsi="Times New Roman" w:cs="Times New Roman"/>
                <w:sz w:val="22"/>
                <w:szCs w:val="22"/>
              </w:rPr>
            </w:pPr>
            <w:bookmarkStart w:id="0" w:name="_Hlk90887843"/>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74E904" w14:textId="77777777" w:rsidR="00921658" w:rsidRPr="003B335B" w:rsidRDefault="00921658" w:rsidP="00AA33B2">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VPĮ 46 straipsnio 3 dalis (</w:t>
            </w:r>
            <w:r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0D1C29FB" w14:textId="77777777" w:rsidR="00921658" w:rsidRPr="003B335B" w:rsidRDefault="00921658" w:rsidP="00AA33B2">
            <w:pPr>
              <w:pStyle w:val="NoSpacing"/>
              <w:jc w:val="both"/>
              <w:rPr>
                <w:rFonts w:ascii="Times New Roman" w:hAnsi="Times New Roman" w:cs="Times New Roman"/>
                <w:sz w:val="22"/>
                <w:szCs w:val="22"/>
                <w:lang w:eastAsia="en-US"/>
              </w:rPr>
            </w:pPr>
          </w:p>
          <w:p w14:paraId="0C832867"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EB19CF6" w14:textId="77777777" w:rsidR="00921658" w:rsidRPr="003B335B" w:rsidRDefault="00921658" w:rsidP="00AA33B2">
            <w:pPr>
              <w:pStyle w:val="NoSpacing"/>
              <w:jc w:val="both"/>
              <w:rPr>
                <w:rFonts w:ascii="Times New Roman" w:hAnsi="Times New Roman" w:cs="Times New Roman"/>
                <w:b/>
                <w:bCs/>
                <w:sz w:val="22"/>
                <w:szCs w:val="22"/>
                <w:lang w:eastAsia="en-US"/>
              </w:rPr>
            </w:pPr>
          </w:p>
          <w:p w14:paraId="1EDF3CEC"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7530DC02"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E75345B"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Pr>
                <w:rFonts w:ascii="Times New Roman" w:hAnsi="Times New Roman" w:cs="Times New Roman"/>
                <w:bCs/>
                <w:sz w:val="22"/>
                <w:szCs w:val="22"/>
                <w:lang w:eastAsia="en-US"/>
              </w:rPr>
              <w:t>VPĮ 46</w:t>
            </w:r>
            <w:r w:rsidRPr="003B335B">
              <w:rPr>
                <w:rFonts w:ascii="Times New Roman" w:hAnsi="Times New Roman" w:cs="Times New Roman"/>
                <w:bCs/>
                <w:sz w:val="22"/>
                <w:szCs w:val="22"/>
                <w:lang w:eastAsia="en-US"/>
              </w:rPr>
              <w:t xml:space="preserve"> straipsnio 3 dalies atveju – galutinis administracinis sprendimas, jeigu toks sprendimas priimamas pagal tiekėjo šalies teisės aktų reikalavimus.</w:t>
            </w:r>
          </w:p>
          <w:p w14:paraId="21667C2C" w14:textId="77777777" w:rsidR="00921658" w:rsidRPr="003B335B" w:rsidRDefault="00921658" w:rsidP="00AA33B2">
            <w:pPr>
              <w:pStyle w:val="NoSpacing"/>
              <w:jc w:val="both"/>
              <w:rPr>
                <w:rFonts w:ascii="Times New Roman" w:hAnsi="Times New Roman" w:cs="Times New Roman"/>
                <w:b/>
                <w:bCs/>
                <w:sz w:val="22"/>
                <w:szCs w:val="22"/>
                <w:lang w:eastAsia="en-US"/>
              </w:rPr>
            </w:pPr>
          </w:p>
          <w:p w14:paraId="73B67A39"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A7BDF88"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1) tiekėjas yra įsipareigojęs sumokėti mokesčius, įskaitant socialinio draudimo įmokas ir dėl to laikomas jau įvykdžiusiu šioje dalyje nurodytus įsipareigojimus;</w:t>
            </w:r>
          </w:p>
          <w:p w14:paraId="3D3B43F1" w14:textId="77777777" w:rsidR="00921658" w:rsidRPr="003B335B" w:rsidRDefault="00921658" w:rsidP="00AA33B2">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25AA3EBB" w14:textId="77777777" w:rsidR="00921658" w:rsidRPr="003B335B" w:rsidRDefault="00921658" w:rsidP="00AA33B2">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0F355F08" w14:textId="77777777" w:rsidR="00921658" w:rsidRPr="003B335B" w:rsidRDefault="00921658" w:rsidP="00AA33B2">
            <w:pPr>
              <w:pStyle w:val="NoSpacing"/>
              <w:jc w:val="both"/>
              <w:rPr>
                <w:rFonts w:ascii="Times New Roman" w:hAnsi="Times New Roman" w:cs="Times New Roman"/>
                <w:b/>
                <w:bCs/>
                <w:sz w:val="22"/>
                <w:szCs w:val="22"/>
                <w:lang w:eastAsia="en-US"/>
              </w:rPr>
            </w:pP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B7A3F"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1) Dėl įsipareigojimų, susijusių su mokesčių mokėjimu</w:t>
            </w:r>
            <w:r>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3ADD692D" w14:textId="77777777" w:rsidR="00921658" w:rsidRPr="003B335B" w:rsidRDefault="00921658" w:rsidP="00AA33B2">
            <w:pPr>
              <w:pStyle w:val="NoSpacing"/>
              <w:jc w:val="both"/>
              <w:rPr>
                <w:rFonts w:ascii="Times New Roman" w:hAnsi="Times New Roman" w:cs="Times New Roman"/>
                <w:b/>
                <w:bCs/>
                <w:sz w:val="22"/>
                <w:szCs w:val="22"/>
              </w:rPr>
            </w:pPr>
          </w:p>
          <w:p w14:paraId="5B18B638" w14:textId="77777777" w:rsidR="00921658" w:rsidRPr="003B335B" w:rsidRDefault="00921658" w:rsidP="00921658">
            <w:pPr>
              <w:pStyle w:val="NoSpacing"/>
              <w:numPr>
                <w:ilvl w:val="0"/>
                <w:numId w:val="1"/>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5E135823" w14:textId="77777777" w:rsidR="00921658" w:rsidRPr="003B335B" w:rsidRDefault="00921658" w:rsidP="00921658">
            <w:pPr>
              <w:pStyle w:val="NoSpacing"/>
              <w:numPr>
                <w:ilvl w:val="0"/>
                <w:numId w:val="1"/>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27290FBB" w14:textId="77777777" w:rsidR="00921658" w:rsidRPr="003B335B" w:rsidRDefault="00921658" w:rsidP="00AA33B2">
            <w:pPr>
              <w:pStyle w:val="NoSpacing"/>
              <w:jc w:val="both"/>
              <w:rPr>
                <w:rFonts w:ascii="Times New Roman" w:hAnsi="Times New Roman" w:cs="Times New Roman"/>
                <w:sz w:val="22"/>
                <w:szCs w:val="22"/>
              </w:rPr>
            </w:pPr>
          </w:p>
          <w:p w14:paraId="6D4D4AAE"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4936D592"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57AC0C4B" w14:textId="77777777" w:rsidR="00921658" w:rsidRPr="003B335B" w:rsidRDefault="00921658" w:rsidP="00AA33B2">
            <w:pPr>
              <w:pStyle w:val="NoSpacing"/>
              <w:jc w:val="both"/>
              <w:rPr>
                <w:rFonts w:ascii="Times New Roman" w:eastAsia="Yu Mincho" w:hAnsi="Times New Roman" w:cs="Times New Roman"/>
                <w:sz w:val="22"/>
                <w:szCs w:val="22"/>
              </w:rPr>
            </w:pPr>
          </w:p>
          <w:p w14:paraId="7E60734E" w14:textId="77777777" w:rsidR="00921658" w:rsidRPr="003B335B" w:rsidRDefault="00921658" w:rsidP="00AA33B2">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348446" w14:textId="77777777" w:rsidR="00921658" w:rsidRPr="003B335B" w:rsidRDefault="00921658" w:rsidP="00921658">
            <w:pPr>
              <w:pStyle w:val="FootnoteText"/>
              <w:numPr>
                <w:ilvl w:val="0"/>
                <w:numId w:val="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5AC364E5" w14:textId="77777777" w:rsidR="00921658" w:rsidRPr="003B335B" w:rsidRDefault="00921658" w:rsidP="00921658">
            <w:pPr>
              <w:pStyle w:val="FootnoteText"/>
              <w:numPr>
                <w:ilvl w:val="0"/>
                <w:numId w:val="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w:t>
            </w:r>
            <w:r w:rsidRPr="003B335B">
              <w:rPr>
                <w:rFonts w:ascii="Times New Roman" w:eastAsia="Yu Mincho" w:hAnsi="Times New Roman" w:cs="Times New Roman"/>
                <w:sz w:val="22"/>
                <w:szCs w:val="22"/>
              </w:rPr>
              <w:lastRenderedPageBreak/>
              <w:t>ar tiekėjo kilmės šalies arba šalies, kurioje jis registruotas, kompetentingos teisinės ar administracinės institucijos, notaro arba kompetentingos profesinės ar prekybos organizacijos.</w:t>
            </w:r>
          </w:p>
          <w:p w14:paraId="15027B83" w14:textId="77777777" w:rsidR="00921658" w:rsidRPr="003B335B" w:rsidRDefault="00921658" w:rsidP="00AA33B2">
            <w:pPr>
              <w:pStyle w:val="NoSpacing"/>
              <w:jc w:val="both"/>
              <w:rPr>
                <w:rFonts w:ascii="Times New Roman" w:hAnsi="Times New Roman" w:cs="Times New Roman"/>
                <w:sz w:val="22"/>
                <w:szCs w:val="22"/>
              </w:rPr>
            </w:pPr>
          </w:p>
          <w:p w14:paraId="1B490DA9" w14:textId="77777777" w:rsidR="00921658" w:rsidRPr="003B335B" w:rsidRDefault="00921658" w:rsidP="00AA33B2">
            <w:pPr>
              <w:pStyle w:val="NoSpacing"/>
              <w:jc w:val="both"/>
              <w:rPr>
                <w:rFonts w:ascii="Times New Roman" w:hAnsi="Times New Roman" w:cs="Times New Roman"/>
                <w:sz w:val="22"/>
                <w:szCs w:val="22"/>
              </w:rPr>
            </w:pPr>
          </w:p>
          <w:p w14:paraId="5C9DC14B" w14:textId="77777777" w:rsidR="00921658" w:rsidRPr="003B335B" w:rsidRDefault="00921658" w:rsidP="00AA33B2">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2B0D3D3A" w14:textId="77777777" w:rsidR="00921658" w:rsidRPr="003B335B" w:rsidRDefault="00921658" w:rsidP="00AA33B2">
            <w:pPr>
              <w:pStyle w:val="NoSpacing"/>
              <w:jc w:val="both"/>
              <w:rPr>
                <w:rFonts w:ascii="Times New Roman" w:hAnsi="Times New Roman" w:cs="Times New Roman"/>
                <w:i/>
                <w:iCs/>
                <w:color w:val="7030A0"/>
                <w:sz w:val="22"/>
                <w:szCs w:val="22"/>
              </w:rPr>
            </w:pPr>
          </w:p>
          <w:p w14:paraId="35F2B1E3"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A9F26CF" w14:textId="77777777" w:rsidR="00921658" w:rsidRPr="003B335B" w:rsidRDefault="00921658" w:rsidP="00AA33B2">
            <w:pPr>
              <w:pStyle w:val="NoSpacing"/>
              <w:jc w:val="both"/>
              <w:rPr>
                <w:rFonts w:ascii="Times New Roman" w:hAnsi="Times New Roman" w:cs="Times New Roman"/>
                <w:b/>
                <w:bCs/>
                <w:sz w:val="22"/>
                <w:szCs w:val="22"/>
              </w:rPr>
            </w:pPr>
          </w:p>
          <w:p w14:paraId="06A0A8C5"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C7751AD" w14:textId="77777777" w:rsidR="00921658" w:rsidRPr="003B335B" w:rsidRDefault="00921658" w:rsidP="00AA33B2">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5"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688537F5" w14:textId="77777777" w:rsidR="00921658" w:rsidRPr="003B335B" w:rsidRDefault="00921658" w:rsidP="00AA33B2">
            <w:pPr>
              <w:pStyle w:val="NoSpacing"/>
              <w:jc w:val="both"/>
              <w:rPr>
                <w:rFonts w:ascii="Times New Roman" w:hAnsi="Times New Roman" w:cs="Times New Roman"/>
                <w:b/>
                <w:bCs/>
                <w:sz w:val="22"/>
                <w:szCs w:val="22"/>
              </w:rPr>
            </w:pPr>
          </w:p>
          <w:p w14:paraId="59C0913D"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w:t>
            </w:r>
            <w:r w:rsidRPr="003B335B">
              <w:rPr>
                <w:rFonts w:ascii="Times New Roman" w:hAnsi="Times New Roman" w:cs="Times New Roman"/>
                <w:sz w:val="22"/>
                <w:szCs w:val="22"/>
              </w:rPr>
              <w:lastRenderedPageBreak/>
              <w:t>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B90A5D4" w14:textId="77777777" w:rsidR="00921658" w:rsidRPr="003B335B" w:rsidRDefault="00921658" w:rsidP="00AA33B2">
            <w:pPr>
              <w:pStyle w:val="NoSpacing"/>
              <w:jc w:val="both"/>
              <w:rPr>
                <w:rFonts w:ascii="Times New Roman" w:hAnsi="Times New Roman" w:cs="Times New Roman"/>
                <w:b/>
                <w:bCs/>
                <w:sz w:val="22"/>
                <w:szCs w:val="22"/>
              </w:rPr>
            </w:pPr>
          </w:p>
          <w:p w14:paraId="07369999"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AF456B" w14:textId="77777777" w:rsidR="00921658" w:rsidRPr="003B335B" w:rsidRDefault="00921658" w:rsidP="00AA33B2">
            <w:pPr>
              <w:pStyle w:val="NoSpacing"/>
              <w:jc w:val="both"/>
              <w:rPr>
                <w:rFonts w:ascii="Times New Roman" w:hAnsi="Times New Roman" w:cs="Times New Roman"/>
                <w:b/>
                <w:bCs/>
                <w:sz w:val="22"/>
                <w:szCs w:val="22"/>
              </w:rPr>
            </w:pPr>
          </w:p>
          <w:p w14:paraId="6306F49C"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CE2DD3D" w14:textId="77777777" w:rsidR="00921658" w:rsidRPr="003B335B" w:rsidRDefault="00921658" w:rsidP="00921658">
            <w:pPr>
              <w:pStyle w:val="NoSpacing"/>
              <w:numPr>
                <w:ilvl w:val="0"/>
                <w:numId w:val="1"/>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464E3B76" w14:textId="77777777" w:rsidR="00921658" w:rsidRPr="003B335B" w:rsidRDefault="00921658" w:rsidP="00AA33B2">
            <w:pPr>
              <w:pStyle w:val="NoSpacing"/>
              <w:jc w:val="both"/>
              <w:rPr>
                <w:rFonts w:ascii="Times New Roman" w:hAnsi="Times New Roman" w:cs="Times New Roman"/>
                <w:b/>
                <w:bCs/>
                <w:sz w:val="22"/>
                <w:szCs w:val="22"/>
              </w:rPr>
            </w:pPr>
          </w:p>
          <w:p w14:paraId="424BF097" w14:textId="77777777" w:rsidR="00921658" w:rsidRPr="003B335B" w:rsidRDefault="00921658" w:rsidP="00AA33B2">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5998B5" w14:textId="77777777" w:rsidR="00921658" w:rsidRPr="003B335B" w:rsidRDefault="00921658" w:rsidP="00921658">
            <w:pPr>
              <w:pStyle w:val="FootnoteText"/>
              <w:numPr>
                <w:ilvl w:val="0"/>
                <w:numId w:val="5"/>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66445F5F" w14:textId="77777777" w:rsidR="00921658" w:rsidRPr="003B335B" w:rsidRDefault="00921658" w:rsidP="00921658">
            <w:pPr>
              <w:pStyle w:val="FootnoteText"/>
              <w:numPr>
                <w:ilvl w:val="0"/>
                <w:numId w:val="5"/>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w:t>
            </w:r>
            <w:r w:rsidRPr="003B335B">
              <w:rPr>
                <w:rFonts w:ascii="Times New Roman" w:eastAsia="Yu Mincho" w:hAnsi="Times New Roman" w:cs="Times New Roman"/>
                <w:sz w:val="22"/>
                <w:szCs w:val="22"/>
              </w:rPr>
              <w:lastRenderedPageBreak/>
              <w:t>kompetentingos profesinės ar prekybos organizacijos.</w:t>
            </w:r>
          </w:p>
          <w:p w14:paraId="680BB705" w14:textId="77777777" w:rsidR="00921658" w:rsidRPr="003B335B" w:rsidRDefault="00921658" w:rsidP="00AA33B2">
            <w:pPr>
              <w:pStyle w:val="NoSpacing"/>
              <w:jc w:val="both"/>
              <w:rPr>
                <w:rFonts w:ascii="Times New Roman" w:hAnsi="Times New Roman" w:cs="Times New Roman"/>
                <w:b/>
                <w:bCs/>
                <w:sz w:val="22"/>
                <w:szCs w:val="22"/>
              </w:rPr>
            </w:pPr>
          </w:p>
          <w:p w14:paraId="24793028" w14:textId="77777777" w:rsidR="00921658" w:rsidRPr="003B335B" w:rsidRDefault="00921658" w:rsidP="00AA33B2">
            <w:pPr>
              <w:pStyle w:val="NoSpacing"/>
              <w:jc w:val="both"/>
              <w:rPr>
                <w:rFonts w:ascii="Times New Roman" w:hAnsi="Times New Roman" w:cs="Times New Roman"/>
                <w:b/>
                <w:bCs/>
                <w:sz w:val="22"/>
                <w:szCs w:val="22"/>
              </w:rPr>
            </w:pPr>
          </w:p>
          <w:p w14:paraId="5839333D" w14:textId="77777777" w:rsidR="00921658" w:rsidRPr="003B335B" w:rsidRDefault="00921658" w:rsidP="00AA33B2">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256F9AA8" w14:textId="77777777" w:rsidR="00921658" w:rsidRPr="003B335B" w:rsidRDefault="00921658" w:rsidP="00AA33B2">
            <w:pPr>
              <w:pStyle w:val="NoSpacing"/>
              <w:jc w:val="both"/>
              <w:rPr>
                <w:rFonts w:ascii="Times New Roman" w:hAnsi="Times New Roman" w:cs="Times New Roman"/>
                <w:b/>
                <w:bCs/>
                <w:sz w:val="22"/>
                <w:szCs w:val="22"/>
              </w:rPr>
            </w:pPr>
          </w:p>
          <w:p w14:paraId="458CDD4C" w14:textId="77777777" w:rsidR="00921658"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8128446" w14:textId="77777777" w:rsidR="00921658" w:rsidRDefault="00921658" w:rsidP="00AA33B2">
            <w:pPr>
              <w:pStyle w:val="NoSpacing"/>
              <w:jc w:val="both"/>
              <w:rPr>
                <w:rFonts w:ascii="Times New Roman" w:hAnsi="Times New Roman" w:cs="Times New Roman"/>
                <w:b/>
                <w:bCs/>
                <w:sz w:val="22"/>
                <w:szCs w:val="22"/>
              </w:rPr>
            </w:pPr>
          </w:p>
          <w:p w14:paraId="09695F34" w14:textId="77777777" w:rsidR="00921658" w:rsidRPr="00A87BBF" w:rsidRDefault="00921658" w:rsidP="00AA33B2">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2A760557" w14:textId="77777777" w:rsidR="00921658" w:rsidRPr="003B335B" w:rsidRDefault="00921658" w:rsidP="00AA33B2">
            <w:pPr>
              <w:pStyle w:val="NoSpacing"/>
              <w:jc w:val="both"/>
              <w:rPr>
                <w:rFonts w:ascii="Times New Roman" w:hAnsi="Times New Roman" w:cs="Times New Roman"/>
                <w:b/>
                <w:bCs/>
                <w:sz w:val="22"/>
                <w:szCs w:val="22"/>
              </w:rPr>
            </w:pP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79DF8"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bookmarkEnd w:id="0"/>
      <w:tr w:rsidR="00921658" w:rsidRPr="00921658" w14:paraId="619FEBC8" w14:textId="77777777" w:rsidTr="00921658">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D34D30" w14:textId="77777777" w:rsidR="00921658" w:rsidRPr="003B335B" w:rsidRDefault="00921658" w:rsidP="00921658">
            <w:pPr>
              <w:pStyle w:val="NoSpacing"/>
              <w:numPr>
                <w:ilvl w:val="0"/>
                <w:numId w:val="2"/>
              </w:numPr>
              <w:rPr>
                <w:rFonts w:ascii="Times New Roman" w:hAnsi="Times New Roman" w:cs="Times New Roman"/>
                <w:b/>
                <w:bCs/>
                <w:sz w:val="22"/>
                <w:szCs w:val="22"/>
              </w:rPr>
            </w:pP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44D512"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Pr>
                <w:rFonts w:ascii="Times New Roman" w:eastAsia="Yu Mincho" w:hAnsi="Times New Roman" w:cs="Times New Roman"/>
                <w:sz w:val="22"/>
                <w:szCs w:val="22"/>
              </w:rPr>
              <w:t>):</w:t>
            </w:r>
          </w:p>
          <w:p w14:paraId="1EAEFAF1" w14:textId="77777777" w:rsidR="00921658" w:rsidRPr="003B335B" w:rsidRDefault="00921658" w:rsidP="00AA33B2">
            <w:pPr>
              <w:pStyle w:val="NoSpacing"/>
              <w:jc w:val="both"/>
              <w:rPr>
                <w:rFonts w:ascii="Times New Roman" w:hAnsi="Times New Roman" w:cs="Times New Roman"/>
                <w:sz w:val="22"/>
                <w:szCs w:val="22"/>
              </w:rPr>
            </w:pPr>
          </w:p>
          <w:p w14:paraId="39DDBC81"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A95693F" w14:textId="77777777" w:rsidR="00921658" w:rsidRPr="003B335B" w:rsidRDefault="00921658" w:rsidP="00AA33B2">
            <w:pPr>
              <w:pStyle w:val="NoSpacing"/>
              <w:jc w:val="both"/>
              <w:rPr>
                <w:rFonts w:ascii="Times New Roman" w:hAnsi="Times New Roman" w:cs="Times New Roman"/>
                <w:sz w:val="22"/>
                <w:szCs w:val="22"/>
              </w:rPr>
            </w:pPr>
          </w:p>
          <w:p w14:paraId="20F35B33"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Pr>
                <w:rFonts w:ascii="Times New Roman" w:eastAsia="Yu Mincho" w:hAnsi="Times New Roman" w:cs="Times New Roman"/>
                <w:sz w:val="22"/>
                <w:szCs w:val="22"/>
              </w:rPr>
              <w:t>):</w:t>
            </w:r>
          </w:p>
          <w:p w14:paraId="32FE67AE" w14:textId="77777777" w:rsidR="00921658" w:rsidRPr="003B335B" w:rsidRDefault="00921658" w:rsidP="00AA33B2">
            <w:pPr>
              <w:pStyle w:val="NoSpacing"/>
              <w:jc w:val="both"/>
              <w:rPr>
                <w:rFonts w:ascii="Times New Roman" w:eastAsia="Yu Mincho" w:hAnsi="Times New Roman" w:cs="Times New Roman"/>
                <w:sz w:val="22"/>
                <w:szCs w:val="22"/>
              </w:rPr>
            </w:pPr>
          </w:p>
          <w:p w14:paraId="64DC41DF"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0D7E2AC"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251FD872" w14:textId="77777777" w:rsidR="00921658" w:rsidRPr="003B335B" w:rsidRDefault="00921658" w:rsidP="00AA33B2">
            <w:pPr>
              <w:pStyle w:val="NoSpacing"/>
              <w:jc w:val="both"/>
              <w:rPr>
                <w:rFonts w:ascii="Times New Roman" w:hAnsi="Times New Roman" w:cs="Times New Roman"/>
                <w:sz w:val="22"/>
                <w:szCs w:val="22"/>
              </w:rPr>
            </w:pPr>
          </w:p>
          <w:p w14:paraId="51BF5FE9"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Pr>
                <w:rFonts w:ascii="Times New Roman" w:eastAsia="Yu Mincho" w:hAnsi="Times New Roman" w:cs="Times New Roman"/>
                <w:sz w:val="22"/>
                <w:szCs w:val="22"/>
              </w:rPr>
              <w:t>):</w:t>
            </w:r>
          </w:p>
          <w:p w14:paraId="35CF46F6" w14:textId="77777777" w:rsidR="00921658" w:rsidRPr="003B335B" w:rsidRDefault="00921658" w:rsidP="00AA33B2">
            <w:pPr>
              <w:pStyle w:val="NoSpacing"/>
              <w:jc w:val="both"/>
              <w:rPr>
                <w:rFonts w:ascii="Times New Roman" w:hAnsi="Times New Roman" w:cs="Times New Roman"/>
                <w:sz w:val="22"/>
                <w:szCs w:val="22"/>
              </w:rPr>
            </w:pPr>
          </w:p>
          <w:p w14:paraId="6BE2129F"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5AF153FF" w14:textId="77777777" w:rsidR="00921658" w:rsidRPr="003B335B" w:rsidRDefault="00921658" w:rsidP="00AA33B2">
            <w:pPr>
              <w:pStyle w:val="NoSpacing"/>
              <w:jc w:val="both"/>
              <w:rPr>
                <w:rFonts w:ascii="Times New Roman" w:hAnsi="Times New Roman" w:cs="Times New Roman"/>
                <w:sz w:val="22"/>
                <w:szCs w:val="22"/>
              </w:rPr>
            </w:pPr>
          </w:p>
          <w:p w14:paraId="77304FC0"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Pr>
                <w:rFonts w:ascii="Times New Roman" w:eastAsia="Yu Mincho" w:hAnsi="Times New Roman" w:cs="Times New Roman"/>
                <w:sz w:val="22"/>
                <w:szCs w:val="22"/>
              </w:rPr>
              <w:t>):</w:t>
            </w:r>
          </w:p>
          <w:p w14:paraId="13706B18" w14:textId="77777777" w:rsidR="00921658" w:rsidRPr="003B335B" w:rsidRDefault="00921658" w:rsidP="00AA33B2">
            <w:pPr>
              <w:pStyle w:val="NoSpacing"/>
              <w:jc w:val="both"/>
              <w:rPr>
                <w:rFonts w:ascii="Times New Roman" w:hAnsi="Times New Roman" w:cs="Times New Roman"/>
                <w:sz w:val="22"/>
                <w:szCs w:val="22"/>
              </w:rPr>
            </w:pPr>
          </w:p>
          <w:p w14:paraId="5AC93263"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39EE26B" w14:textId="77777777" w:rsidR="00921658" w:rsidRPr="003B335B" w:rsidRDefault="00921658" w:rsidP="00AA33B2">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w:t>
            </w:r>
            <w:r w:rsidRPr="003B335B">
              <w:rPr>
                <w:rFonts w:ascii="Times New Roman" w:hAnsi="Times New Roman" w:cs="Times New Roman"/>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16116A3" w14:textId="77777777" w:rsidR="00921658" w:rsidRPr="003B335B" w:rsidRDefault="00921658" w:rsidP="00AA33B2">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74AE371D" w14:textId="77777777" w:rsidR="00921658" w:rsidRPr="003B335B" w:rsidRDefault="00921658" w:rsidP="00AA33B2">
            <w:pPr>
              <w:pStyle w:val="NoSpacing"/>
              <w:jc w:val="both"/>
              <w:rPr>
                <w:rFonts w:ascii="Times New Roman" w:hAnsi="Times New Roman" w:cs="Times New Roman"/>
                <w:sz w:val="22"/>
                <w:szCs w:val="22"/>
              </w:rPr>
            </w:pPr>
          </w:p>
          <w:p w14:paraId="5A8553D0" w14:textId="77777777" w:rsidR="00921658" w:rsidRPr="003B335B" w:rsidRDefault="00921658" w:rsidP="00AA33B2">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Pr>
                <w:rFonts w:ascii="Times New Roman" w:eastAsia="Arial" w:hAnsi="Times New Roman" w:cs="Times New Roman"/>
                <w:sz w:val="22"/>
                <w:szCs w:val="22"/>
              </w:rPr>
              <w:t>):</w:t>
            </w:r>
          </w:p>
          <w:p w14:paraId="47ED2B34" w14:textId="77777777" w:rsidR="00921658" w:rsidRPr="003B335B" w:rsidRDefault="00921658" w:rsidP="00AA33B2">
            <w:pPr>
              <w:pStyle w:val="NoSpacing"/>
              <w:jc w:val="both"/>
              <w:rPr>
                <w:rFonts w:ascii="Times New Roman" w:eastAsia="Yu Mincho" w:hAnsi="Times New Roman" w:cs="Times New Roman"/>
                <w:sz w:val="22"/>
                <w:szCs w:val="22"/>
              </w:rPr>
            </w:pPr>
          </w:p>
          <w:p w14:paraId="709F3F28"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846D67F" w14:textId="77777777" w:rsidR="00921658" w:rsidRPr="003B335B" w:rsidRDefault="00921658" w:rsidP="00AA33B2">
            <w:pPr>
              <w:pStyle w:val="NoSpacing"/>
              <w:jc w:val="both"/>
              <w:rPr>
                <w:rFonts w:ascii="Times New Roman" w:hAnsi="Times New Roman" w:cs="Times New Roman"/>
                <w:sz w:val="22"/>
                <w:szCs w:val="22"/>
              </w:rPr>
            </w:pPr>
          </w:p>
          <w:p w14:paraId="409F8E71"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Pr>
                <w:rFonts w:ascii="Times New Roman" w:eastAsia="Arial" w:hAnsi="Times New Roman" w:cs="Times New Roman"/>
                <w:sz w:val="22"/>
                <w:szCs w:val="22"/>
              </w:rPr>
              <w:t>):</w:t>
            </w:r>
          </w:p>
          <w:p w14:paraId="442869C1" w14:textId="77777777" w:rsidR="00921658" w:rsidRPr="003B335B" w:rsidRDefault="00921658" w:rsidP="00AA33B2">
            <w:pPr>
              <w:pStyle w:val="NoSpacing"/>
              <w:jc w:val="both"/>
              <w:rPr>
                <w:rFonts w:ascii="Times New Roman" w:eastAsia="Yu Mincho" w:hAnsi="Times New Roman" w:cs="Times New Roman"/>
                <w:sz w:val="22"/>
                <w:szCs w:val="22"/>
              </w:rPr>
            </w:pPr>
          </w:p>
          <w:p w14:paraId="5D6DEFBF" w14:textId="77777777" w:rsidR="00921658" w:rsidRPr="00921658" w:rsidRDefault="00921658" w:rsidP="00AA33B2">
            <w:pPr>
              <w:spacing w:after="0" w:line="240" w:lineRule="auto"/>
              <w:jc w:val="both"/>
              <w:rPr>
                <w:rFonts w:ascii="Times New Roman" w:hAnsi="Times New Roman" w:cs="Times New Roman"/>
                <w:lang w:val="lt-LT"/>
              </w:rPr>
            </w:pPr>
            <w:r w:rsidRPr="00921658">
              <w:rPr>
                <w:rFonts w:ascii="Times New Roman" w:hAnsi="Times New Roman" w:cs="Times New Roman"/>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D935C09" w14:textId="77777777" w:rsidR="00921658" w:rsidRPr="00921658" w:rsidRDefault="00921658" w:rsidP="00AA33B2">
            <w:pPr>
              <w:spacing w:after="0" w:line="240" w:lineRule="auto"/>
              <w:jc w:val="both"/>
              <w:rPr>
                <w:rFonts w:ascii="Times New Roman" w:hAnsi="Times New Roman" w:cs="Times New Roman"/>
                <w:lang w:val="lt-LT"/>
              </w:rPr>
            </w:pPr>
            <w:r w:rsidRPr="00921658">
              <w:rPr>
                <w:rFonts w:ascii="Times New Roman" w:hAnsi="Times New Roman" w:cs="Times New Roman"/>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921658">
              <w:rPr>
                <w:rFonts w:ascii="Times New Roman" w:hAnsi="Times New Roman" w:cs="Times New Roman"/>
                <w:lang w:val="lt-LT"/>
              </w:rPr>
              <w:lastRenderedPageBreak/>
              <w:t>nuolatiniais trūkumais ir dėl to ta ankstesnė sutartis buvo nutraukta anksčiau, negu toje sutartyje nustatytas jos galiojimo terminas, buvo pareikalauta atlyginti žalą ar taikomos kitos panašios sankcijos.</w:t>
            </w:r>
          </w:p>
          <w:p w14:paraId="793EA374" w14:textId="77777777" w:rsidR="00921658" w:rsidRPr="00921658" w:rsidRDefault="00921658" w:rsidP="00AA33B2">
            <w:pPr>
              <w:spacing w:after="0" w:line="240" w:lineRule="auto"/>
              <w:jc w:val="both"/>
              <w:rPr>
                <w:rFonts w:ascii="Times New Roman" w:hAnsi="Times New Roman" w:cs="Times New Roman"/>
                <w:lang w:val="lt-LT"/>
              </w:rPr>
            </w:pPr>
          </w:p>
          <w:p w14:paraId="73117F57"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014F2385" w14:textId="77777777" w:rsidR="00921658" w:rsidRPr="003B335B" w:rsidRDefault="00921658" w:rsidP="00AA33B2">
            <w:pPr>
              <w:pStyle w:val="NoSpacing"/>
              <w:jc w:val="both"/>
              <w:rPr>
                <w:rFonts w:ascii="Times New Roman" w:eastAsia="Yu Mincho" w:hAnsi="Times New Roman" w:cs="Times New Roman"/>
                <w:sz w:val="22"/>
                <w:szCs w:val="22"/>
              </w:rPr>
            </w:pPr>
          </w:p>
          <w:p w14:paraId="541262FB"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606C23D4" w14:textId="77777777" w:rsidR="00921658" w:rsidRPr="003B335B" w:rsidRDefault="00921658" w:rsidP="00AA33B2">
            <w:pPr>
              <w:pStyle w:val="NoSpacing"/>
              <w:jc w:val="both"/>
              <w:rPr>
                <w:rFonts w:ascii="Times New Roman" w:hAnsi="Times New Roman" w:cs="Times New Roman"/>
                <w:sz w:val="22"/>
                <w:szCs w:val="22"/>
              </w:rPr>
            </w:pPr>
          </w:p>
          <w:p w14:paraId="2FA76FDB"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457AF75B" w14:textId="77777777" w:rsidR="00921658" w:rsidRPr="003B335B" w:rsidRDefault="00921658" w:rsidP="00AA33B2">
            <w:pPr>
              <w:pStyle w:val="NoSpacing"/>
              <w:jc w:val="both"/>
              <w:rPr>
                <w:rFonts w:ascii="Times New Roman" w:eastAsia="Yu Mincho" w:hAnsi="Times New Roman" w:cs="Times New Roman"/>
                <w:sz w:val="22"/>
                <w:szCs w:val="22"/>
              </w:rPr>
            </w:pPr>
          </w:p>
          <w:p w14:paraId="19702CE3" w14:textId="77777777" w:rsidR="00921658" w:rsidRPr="003B335B" w:rsidRDefault="00921658" w:rsidP="00AA33B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7F76B73C" w14:textId="77777777" w:rsidR="00921658" w:rsidRPr="003B335B" w:rsidRDefault="00921658" w:rsidP="00AA33B2">
            <w:pPr>
              <w:pStyle w:val="NoSpacing"/>
              <w:jc w:val="both"/>
              <w:rPr>
                <w:rFonts w:ascii="Times New Roman" w:eastAsia="Yu Mincho" w:hAnsi="Times New Roman" w:cs="Times New Roman"/>
                <w:b/>
                <w:bCs/>
                <w:sz w:val="22"/>
                <w:szCs w:val="22"/>
              </w:rPr>
            </w:pPr>
          </w:p>
          <w:p w14:paraId="08607089" w14:textId="77777777" w:rsidR="00921658" w:rsidRPr="003B335B" w:rsidRDefault="00921658" w:rsidP="00AA33B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76C9F56F" w14:textId="77777777" w:rsidR="00921658" w:rsidRPr="003B335B" w:rsidRDefault="00921658" w:rsidP="00AA33B2">
            <w:pPr>
              <w:pStyle w:val="NoSpacing"/>
              <w:jc w:val="both"/>
              <w:rPr>
                <w:rFonts w:ascii="Times New Roman" w:eastAsia="Yu Mincho" w:hAnsi="Times New Roman" w:cs="Times New Roman"/>
                <w:sz w:val="22"/>
                <w:szCs w:val="22"/>
              </w:rPr>
            </w:pPr>
          </w:p>
          <w:p w14:paraId="3CD98FF9" w14:textId="77777777" w:rsidR="00921658" w:rsidRPr="003B335B" w:rsidRDefault="00921658" w:rsidP="00AA33B2">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 xml:space="preserve">yra padaręs </w:t>
            </w:r>
            <w:r w:rsidRPr="003B335B">
              <w:rPr>
                <w:rFonts w:ascii="Times New Roman" w:hAnsi="Times New Roman" w:cs="Times New Roman"/>
                <w:color w:val="000000" w:themeColor="text1"/>
                <w:sz w:val="22"/>
                <w:szCs w:val="22"/>
              </w:rPr>
              <w:lastRenderedPageBreak/>
              <w:t>draudimo sudaryti draudžiamus susitarimus, įtvirtinto Lietuvos Respublikos konkurencijos įstatyme ar panašaus pobūdžio kitos valstybės teisės akte, pažeidimą ir nuo jo padarymo dienos praėjo mažiau kaip 3 metai.</w:t>
            </w:r>
          </w:p>
          <w:p w14:paraId="0175059F" w14:textId="77777777" w:rsidR="00921658" w:rsidRPr="003B335B" w:rsidRDefault="00921658" w:rsidP="00AA33B2">
            <w:pPr>
              <w:pStyle w:val="NoSpacing"/>
              <w:jc w:val="both"/>
              <w:rPr>
                <w:rFonts w:ascii="Times New Roman" w:hAnsi="Times New Roman" w:cs="Times New Roman"/>
                <w:color w:val="000000" w:themeColor="text1"/>
                <w:sz w:val="22"/>
                <w:szCs w:val="22"/>
              </w:rPr>
            </w:pPr>
          </w:p>
          <w:p w14:paraId="01656727" w14:textId="77777777" w:rsidR="00921658" w:rsidRPr="00470A25" w:rsidRDefault="00921658" w:rsidP="00AA33B2">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A32F419" w14:textId="77777777" w:rsidR="00921658" w:rsidRPr="00470A25" w:rsidRDefault="00921658" w:rsidP="00AA33B2">
            <w:pPr>
              <w:pStyle w:val="NoSpacing"/>
              <w:jc w:val="both"/>
              <w:rPr>
                <w:rFonts w:ascii="Times New Roman" w:hAnsi="Times New Roman" w:cs="Times New Roman"/>
                <w:i/>
                <w:iCs/>
                <w:sz w:val="22"/>
                <w:szCs w:val="22"/>
              </w:rPr>
            </w:pPr>
          </w:p>
          <w:p w14:paraId="7FCB3982" w14:textId="77777777" w:rsidR="00921658" w:rsidRPr="003B335B" w:rsidRDefault="00921658" w:rsidP="00AA33B2">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26A1A4A" w14:textId="77777777" w:rsidR="00921658" w:rsidRPr="003B335B" w:rsidRDefault="00921658" w:rsidP="00AA33B2">
            <w:pPr>
              <w:pStyle w:val="NoSpacing"/>
              <w:jc w:val="both"/>
              <w:rPr>
                <w:rFonts w:ascii="Times New Roman" w:eastAsia="Yu Mincho" w:hAnsi="Times New Roman" w:cs="Times New Roman"/>
                <w:b/>
                <w:bCs/>
                <w:sz w:val="22"/>
                <w:szCs w:val="22"/>
              </w:rPr>
            </w:pPr>
          </w:p>
          <w:p w14:paraId="2B7F53E3" w14:textId="77777777" w:rsidR="00921658" w:rsidRPr="003B335B" w:rsidRDefault="00921658" w:rsidP="00AA33B2">
            <w:pPr>
              <w:pStyle w:val="NoSpacing"/>
              <w:jc w:val="both"/>
              <w:rPr>
                <w:rFonts w:ascii="Times New Roman" w:hAnsi="Times New Roman" w:cs="Times New Roman"/>
                <w:sz w:val="22"/>
                <w:szCs w:val="22"/>
              </w:rPr>
            </w:pP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C1FE7C" w14:textId="77777777" w:rsidR="00921658" w:rsidRPr="003B335B" w:rsidRDefault="00921658" w:rsidP="00AA33B2">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lastRenderedPageBreak/>
              <w:t xml:space="preserve">Iš </w:t>
            </w:r>
            <w:r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34CBEC8" w14:textId="77777777" w:rsidR="00921658" w:rsidRPr="003B335B" w:rsidRDefault="00921658" w:rsidP="00AA33B2">
            <w:pPr>
              <w:pStyle w:val="NoSpacing"/>
              <w:jc w:val="both"/>
              <w:rPr>
                <w:rFonts w:ascii="Times New Roman" w:hAnsi="Times New Roman" w:cs="Times New Roman"/>
                <w:sz w:val="22"/>
                <w:szCs w:val="22"/>
                <w:lang w:eastAsia="en-US"/>
              </w:rPr>
            </w:pPr>
          </w:p>
          <w:p w14:paraId="323FA911"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4F45C3AC" w14:textId="77777777" w:rsidR="00921658" w:rsidRPr="003B335B" w:rsidRDefault="00921658" w:rsidP="00AA33B2">
            <w:pPr>
              <w:pStyle w:val="NoSpacing"/>
              <w:jc w:val="both"/>
              <w:rPr>
                <w:rFonts w:ascii="Times New Roman" w:hAnsi="Times New Roman" w:cs="Times New Roman"/>
                <w:b/>
                <w:bCs/>
                <w:sz w:val="22"/>
                <w:szCs w:val="22"/>
              </w:rPr>
            </w:pPr>
          </w:p>
          <w:p w14:paraId="42708DCD" w14:textId="77777777" w:rsidR="00921658" w:rsidRPr="004A3EE2" w:rsidRDefault="00921658" w:rsidP="00AA33B2">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Pr="004A3EE2">
              <w:rPr>
                <w:rStyle w:val="Hyperlink"/>
                <w:rFonts w:ascii="Times New Roman" w:hAnsi="Times New Roman" w:cs="Times New Roman"/>
                <w:sz w:val="22"/>
                <w:szCs w:val="22"/>
              </w:rPr>
              <w:t>https://vpt.lrv.lt/melaginga-informacija-pateikusiu-tiekeju-sarasas-3</w:t>
            </w:r>
          </w:p>
          <w:p w14:paraId="72FCD606" w14:textId="77777777" w:rsidR="00921658" w:rsidRPr="003B335B" w:rsidRDefault="00921658" w:rsidP="00AA33B2">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68AB9B3D" w14:textId="77777777" w:rsidR="00921658" w:rsidRPr="003B335B" w:rsidRDefault="00921658" w:rsidP="00AA33B2">
            <w:pPr>
              <w:pStyle w:val="NoSpacing"/>
              <w:jc w:val="both"/>
              <w:rPr>
                <w:rFonts w:ascii="Times New Roman" w:hAnsi="Times New Roman" w:cs="Times New Roman"/>
                <w:bCs/>
                <w:iCs/>
                <w:sz w:val="22"/>
                <w:szCs w:val="22"/>
                <w:lang w:eastAsia="en-US"/>
              </w:rPr>
            </w:pPr>
          </w:p>
          <w:p w14:paraId="1A6F6521" w14:textId="77777777" w:rsidR="00921658" w:rsidRPr="003B335B" w:rsidRDefault="00921658" w:rsidP="00AA33B2">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lastRenderedPageBreak/>
              <w:t xml:space="preserve">Priimant sprendimus dėl tiekėjo pašalinimo iš pirkimo procedūros VPĮ 46 straipsnio 4 dalyje 6 punkte nurodytu pašalinimo pagrindu, gali būti atsižvelgiama į pagal VPĮ 91 straipsnį skelbiamą informaciją: </w:t>
            </w:r>
          </w:p>
          <w:p w14:paraId="3E876108" w14:textId="77777777" w:rsidR="00921658" w:rsidRPr="003B335B" w:rsidRDefault="00921658" w:rsidP="00AA33B2">
            <w:pPr>
              <w:pStyle w:val="NoSpacing"/>
              <w:jc w:val="both"/>
              <w:rPr>
                <w:rFonts w:ascii="Times New Roman" w:hAnsi="Times New Roman" w:cs="Times New Roman"/>
                <w:sz w:val="22"/>
                <w:szCs w:val="22"/>
              </w:rPr>
            </w:pPr>
          </w:p>
          <w:p w14:paraId="6AA232AA" w14:textId="77777777" w:rsidR="00921658" w:rsidRPr="003B335B" w:rsidRDefault="00921658" w:rsidP="00AA33B2">
            <w:pPr>
              <w:pStyle w:val="NoSpacing"/>
              <w:jc w:val="both"/>
              <w:rPr>
                <w:rStyle w:val="Hyperlink"/>
                <w:rFonts w:ascii="Times New Roman" w:hAnsi="Times New Roman" w:cs="Times New Roman"/>
                <w:sz w:val="22"/>
                <w:szCs w:val="22"/>
              </w:rPr>
            </w:pPr>
            <w:hyperlink r:id="rId6" w:history="1">
              <w:r>
                <w:rPr>
                  <w:rStyle w:val="Hyperlink"/>
                  <w:rFonts w:ascii="Times New Roman" w:hAnsi="Times New Roman" w:cs="Times New Roman"/>
                  <w:sz w:val="22"/>
                  <w:szCs w:val="22"/>
                </w:rPr>
                <w:t>https://vpt.lrv.lt/lt/nuorodos/kiti-duomenys/powerbi/nepatikimi-tiekejai-1</w:t>
              </w:r>
            </w:hyperlink>
          </w:p>
          <w:p w14:paraId="6B7E9DE3" w14:textId="77777777" w:rsidR="00921658" w:rsidRPr="003B335B" w:rsidRDefault="00921658" w:rsidP="00AA33B2">
            <w:pPr>
              <w:pStyle w:val="NoSpacing"/>
              <w:jc w:val="both"/>
              <w:rPr>
                <w:rFonts w:ascii="Times New Roman" w:hAnsi="Times New Roman" w:cs="Times New Roman"/>
                <w:sz w:val="22"/>
                <w:szCs w:val="22"/>
              </w:rPr>
            </w:pPr>
          </w:p>
          <w:p w14:paraId="737C1083" w14:textId="77777777" w:rsidR="00921658" w:rsidRPr="003B335B" w:rsidRDefault="00921658" w:rsidP="00AA33B2">
            <w:pPr>
              <w:pStyle w:val="NoSpacing"/>
              <w:jc w:val="both"/>
              <w:rPr>
                <w:rFonts w:ascii="Times New Roman" w:hAnsi="Times New Roman" w:cs="Times New Roman"/>
                <w:sz w:val="22"/>
                <w:szCs w:val="22"/>
              </w:rPr>
            </w:pPr>
            <w:hyperlink r:id="rId7"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799265F3" w14:textId="77777777" w:rsidR="00921658" w:rsidRPr="003B335B" w:rsidRDefault="00921658" w:rsidP="00AA33B2">
            <w:pPr>
              <w:pStyle w:val="NoSpacing"/>
              <w:jc w:val="both"/>
              <w:rPr>
                <w:rFonts w:ascii="Times New Roman" w:hAnsi="Times New Roman" w:cs="Times New Roman"/>
                <w:b/>
                <w:bCs/>
                <w:iCs/>
                <w:sz w:val="22"/>
                <w:szCs w:val="22"/>
                <w:lang w:eastAsia="en-US"/>
              </w:rPr>
            </w:pPr>
          </w:p>
          <w:p w14:paraId="005E1EEE" w14:textId="77777777" w:rsidR="00921658" w:rsidRPr="003B335B" w:rsidRDefault="00921658" w:rsidP="00AA33B2">
            <w:pPr>
              <w:pStyle w:val="NoSpacing"/>
              <w:jc w:val="both"/>
              <w:rPr>
                <w:rFonts w:ascii="Times New Roman" w:hAnsi="Times New Roman" w:cs="Times New Roman"/>
                <w:b/>
                <w:bCs/>
                <w:iCs/>
                <w:sz w:val="22"/>
                <w:szCs w:val="22"/>
                <w:lang w:eastAsia="en-US"/>
              </w:rPr>
            </w:pPr>
          </w:p>
          <w:p w14:paraId="35D5497B"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8" w:history="1">
              <w:r w:rsidRPr="003B335B">
                <w:rPr>
                  <w:rStyle w:val="Hyperlink"/>
                  <w:rFonts w:ascii="Times New Roman" w:hAnsi="Times New Roman" w:cs="Times New Roman"/>
                  <w:sz w:val="22"/>
                  <w:szCs w:val="22"/>
                  <w:u w:val="single"/>
                </w:rPr>
                <w:t>https://www.registrucentras.lt/jar/p/index.php</w:t>
              </w:r>
            </w:hyperlink>
          </w:p>
          <w:p w14:paraId="5270D64A"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4DD9BE9B" w14:textId="77777777" w:rsidR="00921658" w:rsidRPr="003B335B" w:rsidRDefault="00921658" w:rsidP="00AA33B2">
            <w:pPr>
              <w:pStyle w:val="NoSpacing"/>
              <w:jc w:val="both"/>
              <w:rPr>
                <w:rFonts w:ascii="Times New Roman" w:hAnsi="Times New Roman" w:cs="Times New Roman"/>
                <w:sz w:val="22"/>
                <w:szCs w:val="22"/>
                <w:lang w:eastAsia="en-US"/>
              </w:rPr>
            </w:pPr>
            <w:hyperlink r:id="rId9" w:history="1">
              <w:r>
                <w:rPr>
                  <w:rStyle w:val="Hyperlink"/>
                  <w:rFonts w:ascii="Times New Roman" w:hAnsi="Times New Roman" w:cs="Times New Roman"/>
                  <w:sz w:val="22"/>
                  <w:szCs w:val="22"/>
                </w:rPr>
                <w:t>https://vpt.lrv.lt/lt/naujienos-3/finansiniu-ataskaitu-nepateikimas-gali-tapti-kliutimi-dalyvauti-viesuosiuose-pirkimuose/</w:t>
              </w:r>
            </w:hyperlink>
          </w:p>
          <w:p w14:paraId="35722576" w14:textId="77777777" w:rsidR="00921658" w:rsidRPr="003B335B" w:rsidRDefault="00921658" w:rsidP="00AA33B2">
            <w:pPr>
              <w:pStyle w:val="NoSpacing"/>
              <w:jc w:val="both"/>
              <w:rPr>
                <w:rFonts w:ascii="Times New Roman" w:hAnsi="Times New Roman" w:cs="Times New Roman"/>
                <w:b/>
                <w:bCs/>
                <w:iCs/>
                <w:sz w:val="22"/>
                <w:szCs w:val="22"/>
                <w:lang w:eastAsia="en-US"/>
              </w:rPr>
            </w:pPr>
          </w:p>
          <w:p w14:paraId="771401F2" w14:textId="77777777" w:rsidR="00921658" w:rsidRPr="003B335B" w:rsidRDefault="00921658" w:rsidP="00AA33B2">
            <w:pPr>
              <w:pStyle w:val="NoSpacing"/>
              <w:jc w:val="both"/>
              <w:rPr>
                <w:rFonts w:ascii="Times New Roman" w:hAnsi="Times New Roman" w:cs="Times New Roman"/>
                <w:b/>
                <w:bCs/>
                <w:iCs/>
                <w:sz w:val="22"/>
                <w:szCs w:val="22"/>
                <w:lang w:eastAsia="en-US"/>
              </w:rPr>
            </w:pPr>
          </w:p>
          <w:p w14:paraId="559B9833" w14:textId="77777777" w:rsidR="00921658" w:rsidRPr="003B335B" w:rsidRDefault="00921658" w:rsidP="00AA33B2">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0">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4D2ABCF6" w14:textId="77777777" w:rsidR="00921658" w:rsidRPr="003B335B" w:rsidRDefault="00921658" w:rsidP="00AA33B2">
            <w:pPr>
              <w:pStyle w:val="NoSpacing"/>
              <w:jc w:val="both"/>
              <w:rPr>
                <w:rFonts w:ascii="Times New Roman" w:hAnsi="Times New Roman" w:cs="Times New Roman"/>
                <w:sz w:val="22"/>
                <w:szCs w:val="22"/>
              </w:rPr>
            </w:pPr>
          </w:p>
          <w:p w14:paraId="7B9FFA70" w14:textId="77777777" w:rsidR="00921658" w:rsidRPr="00921658" w:rsidRDefault="00921658" w:rsidP="00AA33B2">
            <w:pPr>
              <w:spacing w:after="0" w:line="240" w:lineRule="auto"/>
              <w:jc w:val="both"/>
              <w:rPr>
                <w:rFonts w:ascii="Times New Roman" w:hAnsi="Times New Roman" w:cs="Times New Roman"/>
                <w:b/>
                <w:bCs/>
                <w:lang w:val="lt-LT"/>
              </w:rPr>
            </w:pPr>
            <w:r w:rsidRPr="00921658">
              <w:rPr>
                <w:rFonts w:ascii="Times New Roman" w:hAnsi="Times New Roman" w:cs="Times New Roman"/>
                <w:b/>
                <w:bCs/>
                <w:lang w:val="lt-LT"/>
              </w:rPr>
              <w:lastRenderedPageBreak/>
              <w:t xml:space="preserve">Priimant sprendimus dėl tiekėjo pašalinimo iš pirkimo procedūros VPĮ 46 straipsnio 4 dalies 7 punkto c papunktyje punkte nurodytu pašalinimo pagrindu, be kita ko, atsižvelgiama į nacionalinėje duomenų bazėje adresu: </w:t>
            </w:r>
          </w:p>
          <w:p w14:paraId="4357890F" w14:textId="77777777" w:rsidR="00921658" w:rsidRPr="003B335B" w:rsidRDefault="00921658" w:rsidP="00AA33B2">
            <w:pPr>
              <w:pStyle w:val="NoSpacing"/>
              <w:jc w:val="both"/>
              <w:rPr>
                <w:rFonts w:ascii="Times New Roman" w:hAnsi="Times New Roman" w:cs="Times New Roman"/>
                <w:b/>
                <w:bCs/>
                <w:iCs/>
                <w:sz w:val="22"/>
                <w:szCs w:val="22"/>
                <w:lang w:eastAsia="en-US"/>
              </w:rPr>
            </w:pPr>
            <w:hyperlink r:id="rId11"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1CD5C" w14:textId="77777777" w:rsidR="00921658" w:rsidRPr="003B335B" w:rsidRDefault="00921658" w:rsidP="00AA33B2">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3FE44D78" w14:textId="77777777" w:rsidR="00921658" w:rsidRPr="00921658" w:rsidRDefault="00921658">
      <w:pPr>
        <w:rPr>
          <w:lang w:val="lt-LT"/>
        </w:rPr>
      </w:pPr>
    </w:p>
    <w:sectPr w:rsidR="00921658" w:rsidRPr="00921658" w:rsidSect="0092165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D505B75"/>
    <w:multiLevelType w:val="multilevel"/>
    <w:tmpl w:val="BE7C479A"/>
    <w:lvl w:ilvl="0">
      <w:start w:val="1"/>
      <w:numFmt w:val="decimal"/>
      <w:suff w:val="space"/>
      <w:lvlText w:val="%1."/>
      <w:lvlJc w:val="left"/>
      <w:pPr>
        <w:ind w:left="54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71005059">
    <w:abstractNumId w:val="2"/>
  </w:num>
  <w:num w:numId="2" w16cid:durableId="1789858266">
    <w:abstractNumId w:val="3"/>
  </w:num>
  <w:num w:numId="3" w16cid:durableId="1785999163">
    <w:abstractNumId w:val="0"/>
  </w:num>
  <w:num w:numId="4" w16cid:durableId="590237200">
    <w:abstractNumId w:val="1"/>
  </w:num>
  <w:num w:numId="5" w16cid:durableId="215703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58"/>
    <w:rsid w:val="001B632C"/>
    <w:rsid w:val="001E0CDD"/>
    <w:rsid w:val="003367E9"/>
    <w:rsid w:val="00655AAE"/>
    <w:rsid w:val="0092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6C60"/>
  <w15:chartTrackingRefBased/>
  <w15:docId w15:val="{EA0FBC7E-2325-40E9-9437-55F7D6C0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16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16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16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16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16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16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16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16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16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6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16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16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16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16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16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16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16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1658"/>
    <w:rPr>
      <w:rFonts w:eastAsiaTheme="majorEastAsia" w:cstheme="majorBidi"/>
      <w:color w:val="272727" w:themeColor="text1" w:themeTint="D8"/>
    </w:rPr>
  </w:style>
  <w:style w:type="paragraph" w:styleId="Title">
    <w:name w:val="Title"/>
    <w:basedOn w:val="Normal"/>
    <w:next w:val="Normal"/>
    <w:link w:val="TitleChar"/>
    <w:uiPriority w:val="10"/>
    <w:qFormat/>
    <w:rsid w:val="009216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16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16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16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1658"/>
    <w:pPr>
      <w:spacing w:before="160"/>
      <w:jc w:val="center"/>
    </w:pPr>
    <w:rPr>
      <w:i/>
      <w:iCs/>
      <w:color w:val="404040" w:themeColor="text1" w:themeTint="BF"/>
    </w:rPr>
  </w:style>
  <w:style w:type="character" w:customStyle="1" w:styleId="QuoteChar">
    <w:name w:val="Quote Char"/>
    <w:basedOn w:val="DefaultParagraphFont"/>
    <w:link w:val="Quote"/>
    <w:uiPriority w:val="29"/>
    <w:rsid w:val="00921658"/>
    <w:rPr>
      <w:i/>
      <w:iCs/>
      <w:color w:val="404040" w:themeColor="text1" w:themeTint="BF"/>
    </w:rPr>
  </w:style>
  <w:style w:type="paragraph" w:styleId="ListParagraph">
    <w:name w:val="List Paragraph"/>
    <w:basedOn w:val="Normal"/>
    <w:uiPriority w:val="34"/>
    <w:qFormat/>
    <w:rsid w:val="00921658"/>
    <w:pPr>
      <w:ind w:left="720"/>
      <w:contextualSpacing/>
    </w:pPr>
  </w:style>
  <w:style w:type="character" w:styleId="IntenseEmphasis">
    <w:name w:val="Intense Emphasis"/>
    <w:basedOn w:val="DefaultParagraphFont"/>
    <w:uiPriority w:val="21"/>
    <w:qFormat/>
    <w:rsid w:val="00921658"/>
    <w:rPr>
      <w:i/>
      <w:iCs/>
      <w:color w:val="0F4761" w:themeColor="accent1" w:themeShade="BF"/>
    </w:rPr>
  </w:style>
  <w:style w:type="paragraph" w:styleId="IntenseQuote">
    <w:name w:val="Intense Quote"/>
    <w:basedOn w:val="Normal"/>
    <w:next w:val="Normal"/>
    <w:link w:val="IntenseQuoteChar"/>
    <w:uiPriority w:val="30"/>
    <w:qFormat/>
    <w:rsid w:val="009216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1658"/>
    <w:rPr>
      <w:i/>
      <w:iCs/>
      <w:color w:val="0F4761" w:themeColor="accent1" w:themeShade="BF"/>
    </w:rPr>
  </w:style>
  <w:style w:type="character" w:styleId="IntenseReference">
    <w:name w:val="Intense Reference"/>
    <w:basedOn w:val="DefaultParagraphFont"/>
    <w:uiPriority w:val="32"/>
    <w:qFormat/>
    <w:rsid w:val="00921658"/>
    <w:rPr>
      <w:b/>
      <w:bCs/>
      <w:smallCaps/>
      <w:color w:val="0F4761" w:themeColor="accent1" w:themeShade="BF"/>
      <w:spacing w:val="5"/>
    </w:rPr>
  </w:style>
  <w:style w:type="character" w:styleId="Hyperlink">
    <w:name w:val="Hyperlink"/>
    <w:basedOn w:val="DefaultParagraphFont"/>
    <w:uiPriority w:val="99"/>
    <w:unhideWhenUsed/>
    <w:rsid w:val="00921658"/>
    <w:rPr>
      <w:strike w:val="0"/>
      <w:dstrike w:val="0"/>
      <w:color w:val="auto"/>
      <w:u w:val="none"/>
      <w:effect w:val="none"/>
    </w:rPr>
  </w:style>
  <w:style w:type="paragraph" w:styleId="NoSpacing">
    <w:name w:val="No Spacing"/>
    <w:link w:val="NoSpacingChar"/>
    <w:uiPriority w:val="1"/>
    <w:qFormat/>
    <w:rsid w:val="00921658"/>
    <w:pPr>
      <w:spacing w:after="0" w:line="240" w:lineRule="auto"/>
    </w:pPr>
    <w:rPr>
      <w:rFonts w:eastAsiaTheme="minorEastAsia"/>
      <w:kern w:val="0"/>
      <w:sz w:val="21"/>
      <w:szCs w:val="21"/>
      <w:lang w:val="lt-LT" w:eastAsia="lt-LT"/>
      <w14:ligatures w14:val="none"/>
    </w:rPr>
  </w:style>
  <w:style w:type="character" w:customStyle="1" w:styleId="NoSpacingChar">
    <w:name w:val="No Spacing Char"/>
    <w:basedOn w:val="DefaultParagraphFont"/>
    <w:link w:val="NoSpacing"/>
    <w:uiPriority w:val="1"/>
    <w:rsid w:val="00921658"/>
    <w:rPr>
      <w:rFonts w:eastAsiaTheme="minorEastAsia"/>
      <w:kern w:val="0"/>
      <w:sz w:val="21"/>
      <w:szCs w:val="21"/>
      <w:lang w:val="lt-LT" w:eastAsia="lt-LT"/>
      <w14:ligatures w14:val="none"/>
    </w:rPr>
  </w:style>
  <w:style w:type="paragraph" w:styleId="FootnoteText">
    <w:name w:val="footnote text"/>
    <w:basedOn w:val="Normal"/>
    <w:link w:val="FootnoteTextChar"/>
    <w:uiPriority w:val="99"/>
    <w:unhideWhenUsed/>
    <w:rsid w:val="00921658"/>
    <w:pPr>
      <w:spacing w:after="0" w:line="240" w:lineRule="auto"/>
    </w:pPr>
    <w:rPr>
      <w:rFonts w:eastAsiaTheme="minorEastAsia"/>
      <w:kern w:val="0"/>
      <w:sz w:val="20"/>
      <w:szCs w:val="20"/>
      <w:lang w:val="lt-LT" w:eastAsia="lt-LT"/>
      <w14:ligatures w14:val="none"/>
    </w:rPr>
  </w:style>
  <w:style w:type="character" w:customStyle="1" w:styleId="FootnoteTextChar">
    <w:name w:val="Footnote Text Char"/>
    <w:basedOn w:val="DefaultParagraphFont"/>
    <w:link w:val="FootnoteText"/>
    <w:uiPriority w:val="99"/>
    <w:rsid w:val="00921658"/>
    <w:rPr>
      <w:rFonts w:eastAsiaTheme="minorEastAsia"/>
      <w:kern w:val="0"/>
      <w:sz w:val="20"/>
      <w:szCs w:val="20"/>
      <w:lang w:val="lt-LT" w:eastAsia="lt-LT"/>
      <w14:ligatures w14:val="none"/>
    </w:rPr>
  </w:style>
  <w:style w:type="paragraph" w:customStyle="1" w:styleId="Body2">
    <w:name w:val="Body 2"/>
    <w:rsid w:val="00921658"/>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u w:color="000000"/>
      <w:bdr w:val="nil"/>
      <w:lang w:eastAsia="en-GB"/>
      <w14:textOutline w14:w="12700" w14:cap="flat" w14:cmpd="sng" w14:algn="ctr">
        <w14:noFill/>
        <w14:prstDash w14:val="solid"/>
        <w14:miter w14:lim="400000"/>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jar/p/index.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pt.lrv.lt/lt/pasalinimo-pagrindai-1/nepatikimu-koncesininku-sarasas-1/nepatikimu-koncesininku-sarasa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lt/nuorodos/kiti-duomenys/powerbi/nepatikimi-tiekejai-1" TargetMode="External"/><Relationship Id="rId11" Type="http://schemas.openxmlformats.org/officeDocument/2006/relationships/hyperlink" Target="https://kt.gov.lt/lt/atviri-duomenys/diskvalifikavimas-is-viesuju-pirkimu" TargetMode="External"/><Relationship Id="rId5" Type="http://schemas.openxmlformats.org/officeDocument/2006/relationships/hyperlink" Target="http://draudejai.sodra.lt/draudeju_viesi_duomenys/" TargetMode="External"/><Relationship Id="rId10" Type="http://schemas.openxmlformats.org/officeDocument/2006/relationships/hyperlink" Target="https://www.vmi.lt/evmi/mokesciu-moketoju-informacija" TargetMode="External"/><Relationship Id="rId4" Type="http://schemas.openxmlformats.org/officeDocument/2006/relationships/webSettings" Target="webSettings.xml"/><Relationship Id="rId9"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3198</Words>
  <Characters>18234</Characters>
  <Application>Microsoft Office Word</Application>
  <DocSecurity>0</DocSecurity>
  <Lines>151</Lines>
  <Paragraphs>42</Paragraphs>
  <ScaleCrop>false</ScaleCrop>
  <Company/>
  <LinksUpToDate>false</LinksUpToDate>
  <CharactersWithSpaces>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Vilmantė Nausėdaitė</dc:creator>
  <cp:keywords/>
  <dc:description/>
  <cp:lastModifiedBy>Vilmantė Nausėdaitė</cp:lastModifiedBy>
  <cp:revision>1</cp:revision>
  <dcterms:created xsi:type="dcterms:W3CDTF">2025-01-31T10:59:00Z</dcterms:created>
  <dcterms:modified xsi:type="dcterms:W3CDTF">2025-01-31T11:01:00Z</dcterms:modified>
</cp:coreProperties>
</file>